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FE" w:rsidRDefault="00BB4AFE" w:rsidP="00BB4AFE">
      <w:pPr>
        <w:widowControl/>
        <w:tabs>
          <w:tab w:val="left" w:pos="720"/>
        </w:tabs>
        <w:overflowPunct/>
        <w:ind w:left="-142" w:right="18" w:hanging="284"/>
        <w:jc w:val="center"/>
        <w:textAlignment w:val="auto"/>
        <w:rPr>
          <w:rFonts w:cs="Arial"/>
          <w:b/>
          <w:color w:val="000000"/>
          <w:sz w:val="22"/>
          <w:szCs w:val="22"/>
          <w:u w:val="single"/>
          <w:lang w:eastAsia="en-GB"/>
        </w:rPr>
      </w:pPr>
      <w:r>
        <w:rPr>
          <w:rFonts w:cs="Arial"/>
          <w:b/>
          <w:color w:val="000000"/>
          <w:sz w:val="22"/>
          <w:szCs w:val="22"/>
          <w:u w:val="single"/>
          <w:lang w:eastAsia="en-GB"/>
        </w:rPr>
        <w:t>Regional Adoption Agency Projects – October 2015</w:t>
      </w:r>
    </w:p>
    <w:p w:rsidR="00BB4AFE" w:rsidRPr="00BB4AFE" w:rsidRDefault="00BB4AFE" w:rsidP="00BB4AFE">
      <w:pPr>
        <w:widowControl/>
        <w:tabs>
          <w:tab w:val="left" w:pos="720"/>
        </w:tabs>
        <w:overflowPunct/>
        <w:ind w:left="-142" w:right="18" w:hanging="284"/>
        <w:jc w:val="center"/>
        <w:textAlignment w:val="auto"/>
        <w:rPr>
          <w:rFonts w:cs="Arial"/>
          <w:b/>
          <w:color w:val="000000"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BB4AFE" w:rsidTr="00CB0DE7">
        <w:tc>
          <w:tcPr>
            <w:tcW w:w="4724" w:type="dxa"/>
          </w:tcPr>
          <w:p w:rsidR="00BB4AFE" w:rsidRPr="00FC0353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</w:t>
            </w:r>
            <w:r w:rsidRPr="00FC0353">
              <w:rPr>
                <w:rFonts w:cs="Arial"/>
                <w:b/>
                <w:sz w:val="22"/>
                <w:szCs w:val="22"/>
              </w:rPr>
              <w:t>ead bidder</w:t>
            </w:r>
          </w:p>
        </w:tc>
        <w:tc>
          <w:tcPr>
            <w:tcW w:w="4725" w:type="dxa"/>
          </w:tcPr>
          <w:p w:rsidR="00BB4AFE" w:rsidRPr="00FC0353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FC0353">
              <w:rPr>
                <w:rFonts w:cs="Arial"/>
                <w:b/>
                <w:sz w:val="22"/>
                <w:szCs w:val="22"/>
              </w:rPr>
              <w:t>LAs</w:t>
            </w:r>
          </w:p>
        </w:tc>
        <w:tc>
          <w:tcPr>
            <w:tcW w:w="4725" w:type="dxa"/>
          </w:tcPr>
          <w:p w:rsidR="00BB4AFE" w:rsidRPr="00FC0353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FC0353">
              <w:rPr>
                <w:rFonts w:cs="Arial"/>
                <w:b/>
                <w:sz w:val="22"/>
                <w:szCs w:val="22"/>
              </w:rPr>
              <w:t>VAAs</w:t>
            </w:r>
          </w:p>
        </w:tc>
      </w:tr>
      <w:tr w:rsidR="00BB4AFE" w:rsidTr="00BB4AFE">
        <w:trPr>
          <w:trHeight w:val="898"/>
        </w:trPr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Yorkshire and Humber</w:t>
            </w:r>
          </w:p>
        </w:tc>
        <w:tc>
          <w:tcPr>
            <w:tcW w:w="4725" w:type="dxa"/>
          </w:tcPr>
          <w:p w:rsidR="00BB4AFE" w:rsidRPr="00BB4AFE" w:rsidRDefault="00BB4AFE" w:rsidP="00BB4AFE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All 15 local a</w:t>
            </w:r>
            <w:r>
              <w:rPr>
                <w:rFonts w:cs="Arial"/>
                <w:sz w:val="22"/>
                <w:szCs w:val="22"/>
              </w:rPr>
              <w:t xml:space="preserve">uthorities in the Yorkshire and </w:t>
            </w:r>
            <w:r w:rsidRPr="00C61767">
              <w:rPr>
                <w:rFonts w:cs="Arial"/>
                <w:sz w:val="22"/>
                <w:szCs w:val="22"/>
              </w:rPr>
              <w:t>Humber regio</w:t>
            </w:r>
            <w:r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After Adoption, Adoption Matters, PA</w:t>
            </w:r>
            <w:r>
              <w:rPr>
                <w:rFonts w:cs="Arial"/>
                <w:sz w:val="22"/>
                <w:szCs w:val="22"/>
              </w:rPr>
              <w:t>C UK, Yorkshire Adoption Agency, Barnardo’s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Bolton</w:t>
            </w:r>
          </w:p>
        </w:tc>
        <w:tc>
          <w:tcPr>
            <w:tcW w:w="4725" w:type="dxa"/>
          </w:tcPr>
          <w:p w:rsidR="00BB4AFE" w:rsidRPr="00C61767" w:rsidRDefault="00BB4AFE" w:rsidP="00BB4AFE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Blackburn with Darwen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Bolton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 xml:space="preserve">, Bury,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767">
              <w:rPr>
                <w:rFonts w:cs="Arial"/>
                <w:sz w:val="22"/>
                <w:szCs w:val="22"/>
              </w:rPr>
              <w:t>Oldham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Rochdale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 xml:space="preserve">, Tameside </w:t>
            </w:r>
            <w:r>
              <w:rPr>
                <w:rFonts w:cs="Arial"/>
                <w:sz w:val="22"/>
                <w:szCs w:val="22"/>
              </w:rPr>
              <w:t>Council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 xml:space="preserve">Adoption Matters, Caritas Care 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Coram</w:t>
            </w:r>
          </w:p>
        </w:tc>
        <w:tc>
          <w:tcPr>
            <w:tcW w:w="4725" w:type="dxa"/>
          </w:tcPr>
          <w:p w:rsidR="00BB4AFE" w:rsidRDefault="00BB4AFE" w:rsidP="00BB4AFE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 xml:space="preserve">Cambridgeshire County Council, Northamptonshire County Council, Norfolk County Council, Bedford Borough Council, Central Bedfordshire, Buckinghamshire County Council </w:t>
            </w:r>
          </w:p>
          <w:p w:rsidR="00BB4AFE" w:rsidRPr="00C61767" w:rsidRDefault="00BB4AFE" w:rsidP="00BB4AFE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 xml:space="preserve">Coram Cambridgeshire Adoption (CCA), St Francis Children’s Society and Adoption Plus 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Wolverhampton</w:t>
            </w:r>
          </w:p>
        </w:tc>
        <w:tc>
          <w:tcPr>
            <w:tcW w:w="4725" w:type="dxa"/>
          </w:tcPr>
          <w:p w:rsidR="00BB4AFE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Walsall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Dudley</w:t>
            </w:r>
            <w:r>
              <w:rPr>
                <w:rFonts w:cs="Arial"/>
                <w:sz w:val="22"/>
                <w:szCs w:val="22"/>
              </w:rPr>
              <w:t xml:space="preserve"> Metropolitan Borough Council</w:t>
            </w:r>
            <w:r w:rsidRPr="00C61767">
              <w:rPr>
                <w:rFonts w:cs="Arial"/>
                <w:sz w:val="22"/>
                <w:szCs w:val="22"/>
              </w:rPr>
              <w:t>, Sandwell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Wolverhampton</w:t>
            </w:r>
            <w:r>
              <w:rPr>
                <w:rFonts w:cs="Arial"/>
                <w:sz w:val="22"/>
                <w:szCs w:val="22"/>
              </w:rPr>
              <w:t xml:space="preserve"> City Council, Shropshire and</w:t>
            </w:r>
            <w:r w:rsidRPr="00C61767">
              <w:rPr>
                <w:rFonts w:cs="Arial"/>
                <w:sz w:val="22"/>
                <w:szCs w:val="22"/>
              </w:rPr>
              <w:t xml:space="preserve"> Telford &amp; Wrekin </w:t>
            </w:r>
            <w:r>
              <w:rPr>
                <w:rFonts w:cs="Arial"/>
                <w:sz w:val="22"/>
                <w:szCs w:val="22"/>
              </w:rPr>
              <w:t>Joint Adoption Service</w:t>
            </w:r>
          </w:p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Adoption Focus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PACT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Medway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Milton Keynes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 xml:space="preserve">, Brighton &amp; Hove </w:t>
            </w:r>
            <w:r>
              <w:rPr>
                <w:rFonts w:cs="Arial"/>
                <w:sz w:val="22"/>
                <w:szCs w:val="22"/>
              </w:rPr>
              <w:t>City Council</w:t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PACT</w:t>
            </w:r>
          </w:p>
        </w:tc>
      </w:tr>
      <w:tr w:rsidR="00BB4AFE" w:rsidTr="00CB0DE7">
        <w:tc>
          <w:tcPr>
            <w:tcW w:w="4724" w:type="dxa"/>
          </w:tcPr>
          <w:p w:rsidR="00BB4AFE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Stockport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Stockport Metropolitan Borough Council, Trafford Metropolitan Borough Council, Manchester City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Salford City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Cheshire East Borough Council</w:t>
            </w:r>
          </w:p>
          <w:p w:rsidR="00BB4AFE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Adoption Matters and Caritas Care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Adopt Berkshire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Bracknell Forest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Reading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C61767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oyal </w:t>
            </w:r>
            <w:r w:rsidRPr="00C61767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 xml:space="preserve">orough of </w:t>
            </w:r>
            <w:r w:rsidRPr="00C61767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 xml:space="preserve">indsor and </w:t>
            </w:r>
            <w:r w:rsidRPr="00C61767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aidenhead</w:t>
            </w:r>
            <w:r w:rsidRPr="00C61767">
              <w:rPr>
                <w:rFonts w:cs="Arial"/>
                <w:sz w:val="22"/>
                <w:szCs w:val="22"/>
              </w:rPr>
              <w:t>, West Berkshire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Wokingham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Milton Keynes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Oxfordshire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 xml:space="preserve">, Medway </w:t>
            </w:r>
            <w:r>
              <w:rPr>
                <w:rFonts w:cs="Arial"/>
                <w:sz w:val="22"/>
                <w:szCs w:val="22"/>
              </w:rPr>
              <w:t>Borough Council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BE474C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BE474C">
              <w:rPr>
                <w:rFonts w:cs="Arial"/>
                <w:sz w:val="22"/>
                <w:szCs w:val="22"/>
              </w:rPr>
              <w:t>In conversation with: Adoption Plus, Coram, Barnardo’s, St Francis Children’s Society, PACT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Lincolnshire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Lincolnshire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>, Lincoln City, Nottingham City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Nottinghamshire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>, Peterborough</w:t>
            </w:r>
            <w:r>
              <w:rPr>
                <w:rFonts w:cs="Arial"/>
                <w:sz w:val="22"/>
                <w:szCs w:val="22"/>
              </w:rPr>
              <w:t xml:space="preserve"> City Council</w:t>
            </w:r>
            <w:r w:rsidRPr="00C61767">
              <w:rPr>
                <w:rFonts w:cs="Arial"/>
                <w:sz w:val="22"/>
                <w:szCs w:val="22"/>
              </w:rPr>
              <w:t>, Derbyshire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>, Derby City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Leicester City</w:t>
            </w:r>
            <w:r>
              <w:rPr>
                <w:rFonts w:cs="Arial"/>
                <w:sz w:val="22"/>
                <w:szCs w:val="22"/>
              </w:rPr>
              <w:t xml:space="preserve"> Council and Leicestershire County Council</w:t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 xml:space="preserve">Adopt Together, Coram East Midlands, Family Care 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Liverpool</w:t>
            </w:r>
          </w:p>
        </w:tc>
        <w:tc>
          <w:tcPr>
            <w:tcW w:w="4725" w:type="dxa"/>
          </w:tcPr>
          <w:p w:rsidR="00BB4AFE" w:rsidRPr="00C05C68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b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Liverpool</w:t>
            </w:r>
            <w:r>
              <w:rPr>
                <w:rFonts w:cs="Arial"/>
                <w:sz w:val="22"/>
                <w:szCs w:val="22"/>
              </w:rPr>
              <w:t xml:space="preserve"> City Council</w:t>
            </w:r>
            <w:r w:rsidRPr="00C61767">
              <w:rPr>
                <w:rFonts w:cs="Arial"/>
                <w:sz w:val="22"/>
                <w:szCs w:val="22"/>
              </w:rPr>
              <w:t>, Sefton</w:t>
            </w:r>
            <w:r>
              <w:rPr>
                <w:rFonts w:cs="Arial"/>
                <w:sz w:val="22"/>
                <w:szCs w:val="22"/>
              </w:rPr>
              <w:t xml:space="preserve"> Metropolitan Borough Council</w:t>
            </w:r>
            <w:r w:rsidRPr="00C61767">
              <w:rPr>
                <w:rFonts w:cs="Arial"/>
                <w:sz w:val="22"/>
                <w:szCs w:val="22"/>
              </w:rPr>
              <w:t xml:space="preserve">, Wirral </w:t>
            </w:r>
            <w:r>
              <w:rPr>
                <w:rFonts w:cs="Arial"/>
                <w:sz w:val="22"/>
                <w:szCs w:val="22"/>
              </w:rPr>
              <w:t xml:space="preserve">Metropolitan Borough Council, </w:t>
            </w:r>
            <w:r w:rsidRPr="00C61767">
              <w:rPr>
                <w:rFonts w:cs="Arial"/>
                <w:sz w:val="22"/>
                <w:szCs w:val="22"/>
              </w:rPr>
              <w:t>Knowsley</w:t>
            </w:r>
            <w:r>
              <w:rPr>
                <w:rFonts w:cs="Arial"/>
                <w:sz w:val="22"/>
                <w:szCs w:val="22"/>
              </w:rPr>
              <w:t xml:space="preserve"> Metropolitan Borough Council</w:t>
            </w:r>
            <w:r w:rsidRPr="00C61767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 xml:space="preserve">Nugent Care and After Adoption 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Essex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Essex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>, Southend</w:t>
            </w:r>
            <w:r>
              <w:rPr>
                <w:rFonts w:cs="Arial"/>
                <w:sz w:val="22"/>
                <w:szCs w:val="22"/>
              </w:rPr>
              <w:t>-on-Sea Borough Council</w:t>
            </w:r>
            <w:r w:rsidRPr="00C61767">
              <w:rPr>
                <w:rFonts w:cs="Arial"/>
                <w:sz w:val="22"/>
                <w:szCs w:val="22"/>
              </w:rPr>
              <w:t>, Hertfordshire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 xml:space="preserve">, Luton </w:t>
            </w:r>
            <w:r>
              <w:rPr>
                <w:rFonts w:cs="Arial"/>
                <w:sz w:val="22"/>
                <w:szCs w:val="22"/>
              </w:rPr>
              <w:t>Borough Council,</w:t>
            </w:r>
            <w:r w:rsidRPr="00C61767">
              <w:rPr>
                <w:rFonts w:cs="Arial"/>
                <w:sz w:val="22"/>
                <w:szCs w:val="22"/>
              </w:rPr>
              <w:t xml:space="preserve"> Suffolk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Adoption Plus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Families for Children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Bournemouth Borough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Dorset</w:t>
            </w:r>
            <w:r>
              <w:rPr>
                <w:rFonts w:cs="Arial"/>
                <w:sz w:val="22"/>
                <w:szCs w:val="22"/>
              </w:rPr>
              <w:t xml:space="preserve"> County Council</w:t>
            </w:r>
            <w:r w:rsidRPr="00C61767">
              <w:rPr>
                <w:rFonts w:cs="Arial"/>
                <w:sz w:val="22"/>
                <w:szCs w:val="22"/>
              </w:rPr>
              <w:t xml:space="preserve">, Borough of Poole </w:t>
            </w:r>
          </w:p>
          <w:p w:rsidR="00BB4AFE" w:rsidRDefault="00BB4AFE" w:rsidP="00CB0DE7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Families for Children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London Adoption Board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All 33 London boroughs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Action for Children, Adoption Plus, Barnardo’s, Coram, Family F</w:t>
            </w:r>
            <w:r>
              <w:rPr>
                <w:rFonts w:cs="Arial"/>
                <w:sz w:val="22"/>
                <w:szCs w:val="22"/>
              </w:rPr>
              <w:t>utures, IAC, PACT, PAC UK, SSAFA</w:t>
            </w:r>
            <w:r w:rsidRPr="00C61767">
              <w:rPr>
                <w:rFonts w:cs="Arial"/>
                <w:sz w:val="22"/>
                <w:szCs w:val="22"/>
              </w:rPr>
              <w:t>, TACT</w:t>
            </w: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Wigan</w:t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96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Wigan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Warrington</w:t>
            </w:r>
            <w:r>
              <w:rPr>
                <w:rFonts w:cs="Arial"/>
                <w:sz w:val="22"/>
                <w:szCs w:val="22"/>
              </w:rPr>
              <w:t xml:space="preserve"> Borough Council</w:t>
            </w:r>
            <w:r w:rsidRPr="00C61767">
              <w:rPr>
                <w:rFonts w:cs="Arial"/>
                <w:sz w:val="22"/>
                <w:szCs w:val="22"/>
              </w:rPr>
              <w:t>, St Helens</w:t>
            </w:r>
            <w:r>
              <w:rPr>
                <w:rFonts w:cs="Arial"/>
                <w:sz w:val="22"/>
                <w:szCs w:val="22"/>
              </w:rPr>
              <w:t xml:space="preserve"> Council</w:t>
            </w:r>
            <w:r w:rsidRPr="00C61767">
              <w:rPr>
                <w:rFonts w:cs="Arial"/>
                <w:sz w:val="22"/>
                <w:szCs w:val="22"/>
              </w:rPr>
              <w:t>, Cheshire West</w:t>
            </w:r>
            <w:r>
              <w:rPr>
                <w:rFonts w:cs="Arial"/>
                <w:sz w:val="22"/>
                <w:szCs w:val="22"/>
              </w:rPr>
              <w:t xml:space="preserve"> and Chester Council</w:t>
            </w:r>
            <w:r w:rsidRPr="00C61767">
              <w:rPr>
                <w:rFonts w:cs="Arial"/>
                <w:sz w:val="22"/>
                <w:szCs w:val="22"/>
              </w:rPr>
              <w:t xml:space="preserve">, Halton </w:t>
            </w:r>
            <w:r>
              <w:rPr>
                <w:rFonts w:cs="Arial"/>
                <w:sz w:val="22"/>
                <w:szCs w:val="22"/>
              </w:rPr>
              <w:t>Borough Council</w:t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ListBullet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 w:rsidRPr="00C61767">
              <w:rPr>
                <w:rFonts w:cs="Arial"/>
                <w:sz w:val="22"/>
                <w:szCs w:val="22"/>
              </w:rPr>
              <w:t>Adoption Matters, Caritas Care</w:t>
            </w:r>
          </w:p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</w:p>
        </w:tc>
      </w:tr>
      <w:tr w:rsidR="00BB4AFE" w:rsidTr="00CB0DE7">
        <w:tc>
          <w:tcPr>
            <w:tcW w:w="4724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Plymouth</w:t>
            </w:r>
          </w:p>
        </w:tc>
        <w:tc>
          <w:tcPr>
            <w:tcW w:w="4725" w:type="dxa"/>
          </w:tcPr>
          <w:p w:rsidR="00BB4AFE" w:rsidRDefault="00BB4AFE" w:rsidP="00CB0DE7">
            <w:pPr>
              <w:pStyle w:val="DeptBullets"/>
              <w:numPr>
                <w:ilvl w:val="0"/>
                <w:numId w:val="0"/>
              </w:numPr>
              <w:spacing w:after="0" w:line="276" w:lineRule="auto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Plymouth City Council, Torbay Council,  Devon County Council</w:t>
            </w:r>
          </w:p>
          <w:p w:rsidR="00F6547A" w:rsidRPr="00EA50FE" w:rsidRDefault="00F6547A" w:rsidP="00CB0DE7">
            <w:pPr>
              <w:pStyle w:val="DeptBullets"/>
              <w:numPr>
                <w:ilvl w:val="0"/>
                <w:numId w:val="0"/>
              </w:numPr>
              <w:spacing w:after="0" w:line="276" w:lineRule="auto"/>
              <w:ind w:left="96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BB4AFE" w:rsidRPr="00C61767" w:rsidRDefault="00BB4AFE" w:rsidP="00CB0DE7">
            <w:pPr>
              <w:pStyle w:val="DeptBullets"/>
              <w:numPr>
                <w:ilvl w:val="0"/>
                <w:numId w:val="0"/>
              </w:numPr>
              <w:ind w:left="33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 for Children and Barnardo’s</w:t>
            </w:r>
          </w:p>
        </w:tc>
      </w:tr>
    </w:tbl>
    <w:p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 w:rsidSect="00BB4AF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FE" w:rsidRDefault="00BB4AFE">
      <w:r>
        <w:separator/>
      </w:r>
    </w:p>
  </w:endnote>
  <w:endnote w:type="continuationSeparator" w:id="0">
    <w:p w:rsidR="00BB4AFE" w:rsidRDefault="00BB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FE" w:rsidRDefault="00BB4AFE">
      <w:r>
        <w:separator/>
      </w:r>
    </w:p>
  </w:footnote>
  <w:footnote w:type="continuationSeparator" w:id="0">
    <w:p w:rsidR="00BB4AFE" w:rsidRDefault="00BB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24F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FE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B5B9C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B4AFE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51C42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6547A"/>
    <w:rsid w:val="00F960C1"/>
    <w:rsid w:val="00FA0331"/>
    <w:rsid w:val="00FA6034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BB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ptBulletsChar">
    <w:name w:val="DeptBullets Char"/>
    <w:basedOn w:val="DefaultParagraphFont"/>
    <w:link w:val="DeptBullets"/>
    <w:rsid w:val="00BB4AFE"/>
    <w:rPr>
      <w:rFonts w:ascii="Arial" w:hAnsi="Arial"/>
      <w:sz w:val="24"/>
      <w:lang w:eastAsia="en-US"/>
    </w:rPr>
  </w:style>
  <w:style w:type="paragraph" w:styleId="ListBullet">
    <w:name w:val="List Bullet"/>
    <w:basedOn w:val="Normal"/>
    <w:rsid w:val="00BB4AFE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BB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ptBulletsChar">
    <w:name w:val="DeptBullets Char"/>
    <w:basedOn w:val="DefaultParagraphFont"/>
    <w:link w:val="DeptBullets"/>
    <w:rsid w:val="00BB4AFE"/>
    <w:rPr>
      <w:rFonts w:ascii="Arial" w:hAnsi="Arial"/>
      <w:sz w:val="24"/>
      <w:lang w:eastAsia="en-US"/>
    </w:rPr>
  </w:style>
  <w:style w:type="paragraph" w:styleId="ListBullet">
    <w:name w:val="List Bullet"/>
    <w:basedOn w:val="Normal"/>
    <w:rsid w:val="00BB4AF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5730E4B9</Template>
  <TotalTime>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DENNETT, Gina</dc:creator>
  <cp:lastModifiedBy>DENNETT, Gina</cp:lastModifiedBy>
  <cp:revision>2</cp:revision>
  <dcterms:created xsi:type="dcterms:W3CDTF">2015-10-21T15:37:00Z</dcterms:created>
  <dcterms:modified xsi:type="dcterms:W3CDTF">2015-10-21T15:40:00Z</dcterms:modified>
</cp:coreProperties>
</file>